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5303"/>
      </w:tblGrid>
      <w:tr w:rsidR="00EA4211" w:rsidRPr="00EA6BA3" w:rsidTr="00C23F71">
        <w:tc>
          <w:tcPr>
            <w:tcW w:w="4052" w:type="dxa"/>
          </w:tcPr>
          <w:p w:rsidR="00EA4211" w:rsidRPr="00EA6BA3" w:rsidRDefault="00EA4211" w:rsidP="000D72E6">
            <w:pPr>
              <w:spacing w:after="160"/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EA4211" w:rsidRPr="00EA6BA3" w:rsidRDefault="00EA4211" w:rsidP="006A722A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211" w:rsidRPr="00EA6BA3" w:rsidTr="00C2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211" w:rsidRPr="00762FC6" w:rsidRDefault="00EA4211" w:rsidP="000D72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762FC6">
              <w:rPr>
                <w:rFonts w:ascii="Times New Roman" w:hAnsi="Times New Roman" w:cs="Times New Roman"/>
                <w:b/>
                <w:spacing w:val="50"/>
                <w:sz w:val="28"/>
              </w:rPr>
              <w:t>ОСОБЕННОСТИ</w:t>
            </w:r>
          </w:p>
          <w:p w:rsidR="00EA4211" w:rsidRPr="00EA6BA3" w:rsidRDefault="00FE4740" w:rsidP="009B4D90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ГВЭ </w:t>
            </w:r>
            <w:r w:rsidR="00762FC6"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 w:rsidR="009B4D90">
              <w:rPr>
                <w:rFonts w:ascii="Times New Roman" w:hAnsi="Times New Roman" w:cs="Times New Roman"/>
                <w:b/>
                <w:sz w:val="28"/>
              </w:rPr>
              <w:t>русскому языку и математике</w:t>
            </w:r>
          </w:p>
        </w:tc>
      </w:tr>
      <w:tr w:rsidR="00EA4211" w:rsidRPr="00EA6BA3" w:rsidTr="00C23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211" w:rsidRPr="00E815DF" w:rsidRDefault="00E815DF" w:rsidP="00762FC6">
            <w:pPr>
              <w:spacing w:before="240" w:after="12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E815DF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ПИСЬМЕННАЯ ФОРМА</w:t>
            </w:r>
          </w:p>
          <w:p w:rsidR="00EA4211" w:rsidRPr="00EA6BA3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1. ГВЭ по русскому языку</w:t>
            </w:r>
          </w:p>
          <w:p w:rsidR="00822570" w:rsidRPr="00822570" w:rsidRDefault="00822570" w:rsidP="00822570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Рассадка 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участников по аудиториям осуществляется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зависимости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от выбора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формата ГВЭ по русскому языку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Д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ля проведения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экзамена оборудуются 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разные (отдельные) аудитории:</w:t>
            </w:r>
          </w:p>
          <w:p w:rsidR="00822570" w:rsidRPr="00822570" w:rsidRDefault="00822570" w:rsidP="00822570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</w:t>
            </w:r>
            <w:proofErr w:type="gramEnd"/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 аудитория для проведения сочинения;</w:t>
            </w:r>
          </w:p>
          <w:p w:rsidR="00EA4211" w:rsidRPr="00282588" w:rsidRDefault="00822570" w:rsidP="00822570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б) аудитория для проведения диктанта.</w:t>
            </w:r>
          </w:p>
          <w:p w:rsidR="00EA4211" w:rsidRPr="00282588" w:rsidRDefault="00EA4211" w:rsidP="00762FC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Участникам ГВЭ в письменной форме разрешается пользоваться орфографическими и толковыми словарями для установления норма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тив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ного написания слов и определени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 значения лексической единицы.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Словари предоставляются образовательной организацией, на базе которой организован ППЭ, либо образовательными организациями, обучающиес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я, которых сдают экзамен в ППЭ.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Пользоваться л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ичными словарями участникам ГВЭ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9C227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не рекомендуется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в целях недопущения нарушений Порядка в части использования справочных материалов, письменных заметок и др.</w:t>
            </w:r>
          </w:p>
          <w:p w:rsidR="00762FC6" w:rsidRPr="00762FC6" w:rsidRDefault="00762FC6" w:rsidP="00762FC6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762FC6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Требования к орфографическому слов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арю, используемому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br/>
            </w:r>
            <w:r w:rsidRPr="00762FC6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на экзамене:</w:t>
            </w:r>
          </w:p>
          <w:p w:rsidR="00762FC6" w:rsidRPr="00762FC6" w:rsidRDefault="00762FC6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позволяет</w:t>
            </w:r>
            <w:proofErr w:type="gramEnd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устанавливать нормативное написание слов;</w:t>
            </w:r>
          </w:p>
          <w:p w:rsidR="00A4462E" w:rsidRDefault="00A4462E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включает</w:t>
            </w:r>
            <w:proofErr w:type="gramEnd"/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не менее 15 000 слов;</w:t>
            </w:r>
          </w:p>
          <w:p w:rsidR="00762FC6" w:rsidRPr="00762FC6" w:rsidRDefault="00762FC6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издан</w:t>
            </w:r>
            <w:proofErr w:type="gramEnd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не ранее 2009 года;</w:t>
            </w:r>
          </w:p>
          <w:p w:rsidR="00762FC6" w:rsidRPr="00762FC6" w:rsidRDefault="00762FC6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может</w:t>
            </w:r>
            <w:proofErr w:type="gramEnd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содержать список имён, важнейшие орфографические правила.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Определение группы вариантов К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ИМ осуществляется индивидуально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 учетом особых образователь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ных потребностей участников ГВЭ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 индивидуальной ситуации развития.</w:t>
            </w:r>
          </w:p>
          <w:p w:rsidR="00EA4211" w:rsidRPr="00282588" w:rsidRDefault="00EA4211" w:rsidP="00020EF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>Распределение КИМ в зависимости от категории участников ГВЭ по русскому языку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268"/>
              <w:gridCol w:w="3532"/>
            </w:tblGrid>
            <w:tr w:rsidR="00EA4211" w:rsidRPr="00282588" w:rsidTr="00960484">
              <w:tc>
                <w:tcPr>
                  <w:tcW w:w="3256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Характеристика КИМ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Категории участников ГВЭ</w:t>
                  </w:r>
                </w:p>
              </w:tc>
            </w:tr>
            <w:tr w:rsidR="00EA4211" w:rsidRPr="00282588" w:rsidTr="002C6479">
              <w:trPr>
                <w:trHeight w:val="2208"/>
              </w:trPr>
              <w:tc>
                <w:tcPr>
                  <w:tcW w:w="3256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100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-е номера вариантов (сочинение)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Участники ГВЭ без ОВЗ;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Участники ГВЭ с нарушениями опорно-двигательного аппарата;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3. Иные категории участников ГВЭ, которым требуется создание особых условий (диабет, онкология, астма и др.).</w:t>
                  </w:r>
                </w:p>
              </w:tc>
            </w:tr>
            <w:tr w:rsidR="00EA4211" w:rsidRPr="00282588" w:rsidTr="002C6479">
              <w:trPr>
                <w:trHeight w:val="2208"/>
              </w:trPr>
              <w:tc>
                <w:tcPr>
                  <w:tcW w:w="3256" w:type="dxa"/>
                  <w:vAlign w:val="center"/>
                </w:tcPr>
                <w:p w:rsidR="00EA4211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lastRenderedPageBreak/>
                    <w:t>В темах сочинений отсутствуют визуальные образы</w:t>
                  </w:r>
                  <w:r w:rsidR="005217FE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5217FE" w:rsidRPr="00282588" w:rsidRDefault="005217FE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Для слепых уча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стников ГВЭ задания переводятся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br/>
                  </w: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на рельефно-точечный шрифт Брайля (при необходимости)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200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-е номера вариантов (сочинение)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1. Слепые, </w:t>
                  </w:r>
                  <w:proofErr w:type="spellStart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поздноослепшие</w:t>
                  </w:r>
                  <w:proofErr w:type="spellEnd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Слабовидящие.</w:t>
                  </w:r>
                </w:p>
              </w:tc>
            </w:tr>
            <w:tr w:rsidR="00EA4211" w:rsidRPr="00282588" w:rsidTr="002C6479">
              <w:trPr>
                <w:trHeight w:val="2208"/>
              </w:trPr>
              <w:tc>
                <w:tcPr>
                  <w:tcW w:w="3256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Более простые формулировки тем сочинений.</w:t>
                  </w:r>
                </w:p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 темах сочинений отсутствуют звуковые образы.</w:t>
                  </w:r>
                </w:p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Наличие инструкции для участников ГВЭ, в ко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торой указаны особые требования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br/>
                  </w: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к объёму сочинения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300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-е номера вариантов (сочинение)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Глухие, позднооглохшие;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Слабослышащие, кохлеарно – имплантированные.</w:t>
                  </w:r>
                </w:p>
              </w:tc>
            </w:tr>
            <w:tr w:rsidR="00EA4211" w:rsidRPr="002865EC" w:rsidTr="002C6479">
              <w:trPr>
                <w:trHeight w:val="1380"/>
              </w:trPr>
              <w:tc>
                <w:tcPr>
                  <w:tcW w:w="3256" w:type="dxa"/>
                  <w:vAlign w:val="center"/>
                </w:tcPr>
                <w:p w:rsidR="00EA4211" w:rsidRPr="002865EC" w:rsidRDefault="00EA4211" w:rsidP="00370B18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Диктант с особыми критериями оценивания</w:t>
                  </w:r>
                  <w:r w:rsidR="00370B18"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 (объем текста для диктанта – 200-220 слов)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65EC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400-е номера вариантов (диктант)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65EC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Участники ГВЭ с расстройствами аутистического спектра.</w:t>
                  </w:r>
                </w:p>
              </w:tc>
            </w:tr>
          </w:tbl>
          <w:p w:rsidR="00370B18" w:rsidRPr="002865EC" w:rsidRDefault="00370B18" w:rsidP="00370B18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Комплект тем сочинений содержит пять тем разной проблематики, сгруппированных в соответствии с определённой структурой, и инструкции для экзаменуемого</w:t>
            </w:r>
            <w:r w:rsidRPr="002865EC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.</w:t>
            </w:r>
          </w:p>
          <w:p w:rsidR="00370B18" w:rsidRPr="002865EC" w:rsidRDefault="00370B18" w:rsidP="00370B18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Устанавливается минимально необходимый объем сочинения:</w:t>
            </w:r>
          </w:p>
          <w:p w:rsidR="00370B18" w:rsidRPr="002865EC" w:rsidRDefault="00370B18" w:rsidP="00370B18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</w:t>
            </w:r>
            <w:proofErr w:type="gramEnd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комплекта с 100-ми и 200-ми номерами вариантов – от 300 слов;</w:t>
            </w:r>
          </w:p>
          <w:p w:rsidR="00370B18" w:rsidRPr="002865EC" w:rsidRDefault="00370B18" w:rsidP="00370B18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</w:t>
            </w:r>
            <w:proofErr w:type="gramEnd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комплекта 200-ми номерами вариантов – от 150 слов.</w:t>
            </w:r>
          </w:p>
          <w:p w:rsidR="00EA4211" w:rsidRPr="00370B18" w:rsidRDefault="00370B1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</w:t>
            </w:r>
            <w:r w:rsidR="00EA4211"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подсчёт слов включаются все слова, в том числе служебные.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2. ГВЭ по математике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Письменный экзамен ГВЭ по математике проводится в нескольких форматах в целях учета возможностей разных категорий его участников.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Участники ГВЭ могут быть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распределены в одну аудиторию.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распределении обязательно указывается группа номеров вариантов КИМ.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выполнении заданий ГВЭ по математике в письменной форме разрешается пользоваться линейкой для построения чертежей и рисунков. Линейка не должна содержать справочной информации.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Необходимые справочные материалы, содержащие основные формулы курса математики образовательной программы основного общего и среднего образования, выдаются вместе с КИМ. Пользоваться личными справочными материала</w:t>
            </w:r>
            <w:r w:rsidR="007E226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ми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, содержащими основные формулы курса математики образовательной программы основного общего и среднего общего образования, участникам ГВЭ не рекомендуется в целя</w:t>
            </w:r>
            <w:r w:rsidR="00750C4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х недопущения нарушения Порядка</w:t>
            </w:r>
            <w:r w:rsidR="00750C4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части использования справочных материалов, письменных заметок и др.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Определение группы вариантов К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ИМ осуществляется индивидуально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 учетом особых образователь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ных потребностей участников ГВЭ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 индивидуальной ситуации развития.</w:t>
            </w:r>
          </w:p>
          <w:p w:rsidR="00EA4211" w:rsidRPr="00282588" w:rsidRDefault="00EA4211" w:rsidP="00750C45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lastRenderedPageBreak/>
              <w:t>Распределение КИМ в зависимости</w:t>
            </w:r>
            <w:r w:rsidR="002C6479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 xml:space="preserve"> от категории участников ГВЭ по 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>математике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1418"/>
              <w:gridCol w:w="4207"/>
            </w:tblGrid>
            <w:tr w:rsidR="00EA4211" w:rsidRPr="00282588" w:rsidTr="00750C45">
              <w:tc>
                <w:tcPr>
                  <w:tcW w:w="3431" w:type="dxa"/>
                  <w:vAlign w:val="center"/>
                </w:tcPr>
                <w:p w:rsidR="00EA4211" w:rsidRPr="00282588" w:rsidRDefault="00EA4211" w:rsidP="00750C45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Характеристика ЭМ</w:t>
                  </w: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750C45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EA4211" w:rsidP="00750C45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Категории участников ГВЭ</w:t>
                  </w:r>
                </w:p>
              </w:tc>
            </w:tr>
            <w:tr w:rsidR="00EA4211" w:rsidRPr="00282588" w:rsidTr="00282588">
              <w:tc>
                <w:tcPr>
                  <w:tcW w:w="3431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100-е 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5D6224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Участникам ГВЭ без ОВЗ.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Глухие, позднооглохшие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2C6479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3. Слабослышащие, </w:t>
                  </w:r>
                  <w:proofErr w:type="spellStart"/>
                  <w:r w:rsidR="00EA4211"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кохлеарно</w:t>
                  </w:r>
                  <w:proofErr w:type="spellEnd"/>
                  <w:r w:rsidR="00EA4211"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 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–</w:t>
                  </w:r>
                  <w:r w:rsidR="00EA4211"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 имплантированные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4. С нарушениями опорно-двигательного аппарата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5. С расстройствами аутистического спектра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6. Иные категории участников ГВЭ, которым требуется создание особых условий (диабет, онкология, астма и др.).</w:t>
                  </w:r>
                </w:p>
              </w:tc>
            </w:tr>
            <w:tr w:rsidR="00EA4211" w:rsidRPr="00282588" w:rsidTr="002C6479">
              <w:trPr>
                <w:trHeight w:val="2098"/>
              </w:trPr>
              <w:tc>
                <w:tcPr>
                  <w:tcW w:w="3431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Визуальные образы в тексте КИМ сведены к минимуму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Для слепых участников ГВЭ задания переводятся на рельефно-точечный шрифт Брайля (при необходимости)</w:t>
                  </w: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200-е 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EA4211" w:rsidP="005217FE">
                  <w:pP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1. Слепые, </w:t>
                  </w:r>
                  <w:proofErr w:type="spellStart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поздноослепшие</w:t>
                  </w:r>
                  <w:proofErr w:type="spellEnd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;</w:t>
                  </w:r>
                </w:p>
                <w:p w:rsidR="00EA4211" w:rsidRPr="00282588" w:rsidRDefault="00EA4211" w:rsidP="005217FE">
                  <w:pP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Слабовидящие.</w:t>
                  </w:r>
                </w:p>
              </w:tc>
            </w:tr>
          </w:tbl>
          <w:p w:rsidR="00EA4211" w:rsidRPr="00282588" w:rsidRDefault="00EA4211" w:rsidP="00A8239B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Каждый вариант экзаменационной работы содержит 14 заданий с кратким ответом</w:t>
            </w:r>
            <w:r w:rsidRPr="00282588"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Ответом к каждому из заданий 1–14 является целое число, или конечная десятичная дробь, или последовательности цифр.</w:t>
            </w:r>
          </w:p>
          <w:p w:rsidR="00EA4211" w:rsidRPr="00CD5994" w:rsidRDefault="00E815DF" w:rsidP="00E815DF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УСТНАЯ ФОРМА</w:t>
            </w:r>
          </w:p>
          <w:p w:rsidR="00A21174" w:rsidRDefault="00A21174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комплект экзаменационных материалов для ГВЭ в устной форме включены билеты. Участникам экзамена предоставляется возможность выбора экзаменационного билета, при этом номера и содержимое экзаменационных билетов не должны быть известны участнику экзамена в момент выбора экзаменационного билета из предложенных.</w:t>
            </w:r>
          </w:p>
          <w:p w:rsidR="00B464BB" w:rsidRDefault="00B464BB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проведении экзамена участник экзамена может пользоваться черновиком.</w:t>
            </w:r>
          </w:p>
          <w:p w:rsidR="00115EC8" w:rsidRDefault="009A76BB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проведени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30F6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экзамена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</w:t>
            </w: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удитории оборудуются средствами цифровой </w:t>
            </w: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аудиозаписи</w:t>
            </w:r>
            <w:r w:rsidR="00F30098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(в качестве оборудования для аудиозаписи могут быть использованы ноутбук, диктофон</w:t>
            </w:r>
            <w:r w:rsid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или компьютер</w:t>
            </w:r>
            <w:r w:rsidR="00F30098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).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У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стные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ответы участников записываются 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на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электронные (внешние) </w:t>
            </w:r>
            <w:r w:rsidR="00640D16" w:rsidRPr="00640D1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носители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  <w:r w:rsidR="001306FB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306FB" w:rsidRPr="00FB5A9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Информация об имени аудиофайла с записью ответа участника вносится в бланк ответов участника.</w:t>
            </w:r>
          </w:p>
          <w:p w:rsidR="00851016" w:rsidRPr="00177901" w:rsidRDefault="00851016" w:rsidP="00851016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 xml:space="preserve">В случае если в аудитории несколько участников сдают </w:t>
            </w:r>
            <w:r>
              <w:rPr>
                <w:rFonts w:ascii="Times New Roman" w:hAnsi="Times New Roman" w:cs="Times New Roman"/>
                <w:sz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в устной форме рекомендуется выделить отдельные места для подготовки каждого участника экзамена к ответу.</w:t>
            </w:r>
          </w:p>
          <w:p w:rsidR="00851016" w:rsidRDefault="00B90C61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lastRenderedPageBreak/>
              <w:t>После подготовки участника ГВЭ приглашают к средству цифровой аудиозаписи.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 ГВЭ по указанию организатора громко и разборчиво дает устные ответы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5101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на задания.</w:t>
            </w:r>
          </w:p>
          <w:p w:rsidR="00B90C61" w:rsidRDefault="00851016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 xml:space="preserve">В случае если в аудитории несколько участников сдают </w:t>
            </w:r>
            <w:r>
              <w:rPr>
                <w:rFonts w:ascii="Times New Roman" w:hAnsi="Times New Roman" w:cs="Times New Roman"/>
                <w:sz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в устной форме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B90C61"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 время ответа одного участника ГВЭ остальные участники ГВЭ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90C61"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присутствуют в аудитории.</w:t>
            </w:r>
          </w:p>
          <w:p w:rsidR="00D02EFA" w:rsidRPr="00CD5994" w:rsidRDefault="00282588" w:rsidP="009C2278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проведении экзамена экзаменатор-собеседник при необходимости задает вопросы, которые позволяют участнику ГВЭ уточнить</w:t>
            </w:r>
            <w:r w:rsidR="0044301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и (или) дополнить 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устный ответ </w:t>
            </w: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соответствии с требованиями воп</w:t>
            </w:r>
            <w:r w:rsidR="00D02EFA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роса экзаменационного задания.</w:t>
            </w:r>
          </w:p>
          <w:p w:rsidR="00282588" w:rsidRPr="00282588" w:rsidRDefault="00CD5994" w:rsidP="009C2278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ехнический специалист или организатор ППЭ предоставляет участнику 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экзамена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возможность прослушать запись его ответа и убедиться, что она произведена без технических сбоев.</w:t>
            </w:r>
          </w:p>
          <w:p w:rsidR="00282588" w:rsidRPr="00282588" w:rsidRDefault="00282588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. Особенности ГВЭ по русскому языку в устной форме</w:t>
            </w:r>
          </w:p>
          <w:p w:rsidR="00D122C3" w:rsidRDefault="00D122C3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D122C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Каждый биле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 содержит текст и три задания.</w:t>
            </w:r>
          </w:p>
          <w:p w:rsidR="00282588" w:rsidRPr="00282588" w:rsidRDefault="0028258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 подготовки ответа на вопросы экзаменационного билета участнику экзамена предоставляется 60 минут.</w:t>
            </w:r>
          </w:p>
          <w:p w:rsidR="00282588" w:rsidRDefault="00282588" w:rsidP="00E50511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2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. Особенности ГВЭ по 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математике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 в устной форме</w:t>
            </w:r>
          </w:p>
          <w:p w:rsidR="00525AC6" w:rsidRDefault="006A6AA9" w:rsidP="00525AC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6A6AA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Комплект экзаменационных материалов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состоит из </w:t>
            </w:r>
            <w:r w:rsidR="00A2404A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15 билетов.</w:t>
            </w:r>
          </w:p>
          <w:p w:rsidR="00EA4211" w:rsidRPr="00282588" w:rsidRDefault="00525AC6" w:rsidP="00525AC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Билет состоит из 5 заданий,</w:t>
            </w:r>
            <w:r w:rsidR="008D42ED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содержащих две задачи базового</w:t>
            </w:r>
            <w:r w:rsidR="008D42ED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 повышенного уровней сложности одного раздела проверяемых элементов содержания. В каждом задании экзаменуемый может выбрать для решения одну задачу.</w:t>
            </w:r>
          </w:p>
          <w:p w:rsidR="00A74C34" w:rsidRDefault="00722582" w:rsidP="00A74089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</w:t>
            </w:r>
            <w:r w:rsidR="007470E9" w:rsidRPr="007470E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частник экзамена может пользоваться </w:t>
            </w:r>
            <w:r w:rsid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линейкой</w:t>
            </w:r>
            <w:r w:rsidR="007470E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  <w:r w:rsid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A74089"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Линейка не должна содержать справочной информации.</w:t>
            </w:r>
            <w:r w:rsidR="00A7408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A74C34" w:rsidRP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Необходимые справочные мате</w:t>
            </w:r>
            <w:r w:rsid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риалы выдаются вместе с текстом билета.</w:t>
            </w:r>
          </w:p>
          <w:p w:rsidR="00EA4211" w:rsidRPr="00EA6BA3" w:rsidRDefault="00EA4211" w:rsidP="00A74C3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 подготовки ответа на вопросы экзаменационного билета участнику экзамена предоставляется 90 минут.</w:t>
            </w:r>
          </w:p>
        </w:tc>
      </w:tr>
    </w:tbl>
    <w:p w:rsidR="00677804" w:rsidRDefault="00677804" w:rsidP="000D72E6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263BB"/>
    <w:multiLevelType w:val="hybridMultilevel"/>
    <w:tmpl w:val="A9989C9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C74359"/>
    <w:multiLevelType w:val="hybridMultilevel"/>
    <w:tmpl w:val="EFD43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133A37"/>
    <w:multiLevelType w:val="hybridMultilevel"/>
    <w:tmpl w:val="29749B4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C"/>
    <w:rsid w:val="00020EFC"/>
    <w:rsid w:val="000632F0"/>
    <w:rsid w:val="000D72E6"/>
    <w:rsid w:val="00115EC8"/>
    <w:rsid w:val="001306FB"/>
    <w:rsid w:val="00137618"/>
    <w:rsid w:val="001C2363"/>
    <w:rsid w:val="0023054A"/>
    <w:rsid w:val="00256315"/>
    <w:rsid w:val="00282588"/>
    <w:rsid w:val="002825AC"/>
    <w:rsid w:val="002865EC"/>
    <w:rsid w:val="002C6479"/>
    <w:rsid w:val="00361C13"/>
    <w:rsid w:val="003643C6"/>
    <w:rsid w:val="00370B18"/>
    <w:rsid w:val="003E5DDA"/>
    <w:rsid w:val="00403F29"/>
    <w:rsid w:val="00443016"/>
    <w:rsid w:val="00497613"/>
    <w:rsid w:val="00514C92"/>
    <w:rsid w:val="005164F6"/>
    <w:rsid w:val="005217FE"/>
    <w:rsid w:val="00525AC6"/>
    <w:rsid w:val="00552908"/>
    <w:rsid w:val="005D6224"/>
    <w:rsid w:val="00640D16"/>
    <w:rsid w:val="00677804"/>
    <w:rsid w:val="006A6AA9"/>
    <w:rsid w:val="006A722A"/>
    <w:rsid w:val="006A7490"/>
    <w:rsid w:val="006F6B04"/>
    <w:rsid w:val="007114E9"/>
    <w:rsid w:val="00722582"/>
    <w:rsid w:val="00725C89"/>
    <w:rsid w:val="007470E9"/>
    <w:rsid w:val="00750C45"/>
    <w:rsid w:val="00753972"/>
    <w:rsid w:val="00762FC6"/>
    <w:rsid w:val="00783152"/>
    <w:rsid w:val="007E2265"/>
    <w:rsid w:val="007E4646"/>
    <w:rsid w:val="00803092"/>
    <w:rsid w:val="0081608E"/>
    <w:rsid w:val="00816DFC"/>
    <w:rsid w:val="00822570"/>
    <w:rsid w:val="00851016"/>
    <w:rsid w:val="008D42ED"/>
    <w:rsid w:val="008F2E6B"/>
    <w:rsid w:val="00960484"/>
    <w:rsid w:val="00993FAD"/>
    <w:rsid w:val="009A76BB"/>
    <w:rsid w:val="009B4D90"/>
    <w:rsid w:val="009C2278"/>
    <w:rsid w:val="009C74E9"/>
    <w:rsid w:val="009D1721"/>
    <w:rsid w:val="009F3DF2"/>
    <w:rsid w:val="00A21174"/>
    <w:rsid w:val="00A2404A"/>
    <w:rsid w:val="00A25A49"/>
    <w:rsid w:val="00A4462E"/>
    <w:rsid w:val="00A527EC"/>
    <w:rsid w:val="00A74089"/>
    <w:rsid w:val="00A74C34"/>
    <w:rsid w:val="00A8239B"/>
    <w:rsid w:val="00A87DA0"/>
    <w:rsid w:val="00B3423D"/>
    <w:rsid w:val="00B464BB"/>
    <w:rsid w:val="00B90C61"/>
    <w:rsid w:val="00C02DBF"/>
    <w:rsid w:val="00C23F71"/>
    <w:rsid w:val="00C5691B"/>
    <w:rsid w:val="00C76735"/>
    <w:rsid w:val="00CD5994"/>
    <w:rsid w:val="00CF5A0E"/>
    <w:rsid w:val="00D02EFA"/>
    <w:rsid w:val="00D122C3"/>
    <w:rsid w:val="00E048B2"/>
    <w:rsid w:val="00E50511"/>
    <w:rsid w:val="00E5217B"/>
    <w:rsid w:val="00E815DF"/>
    <w:rsid w:val="00EA324A"/>
    <w:rsid w:val="00EA4211"/>
    <w:rsid w:val="00EA7078"/>
    <w:rsid w:val="00F30098"/>
    <w:rsid w:val="00F30F65"/>
    <w:rsid w:val="00FB4428"/>
    <w:rsid w:val="00FB5A99"/>
    <w:rsid w:val="00FB75DD"/>
    <w:rsid w:val="00FE2306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2F48-0686-4F8E-8416-8F0A220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421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4211"/>
  </w:style>
  <w:style w:type="table" w:customStyle="1" w:styleId="9">
    <w:name w:val="Сетка таблицы9"/>
    <w:basedOn w:val="a1"/>
    <w:next w:val="a3"/>
    <w:uiPriority w:val="39"/>
    <w:rsid w:val="00EA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75</cp:revision>
  <dcterms:created xsi:type="dcterms:W3CDTF">2024-04-08T07:41:00Z</dcterms:created>
  <dcterms:modified xsi:type="dcterms:W3CDTF">2025-02-12T08:17:00Z</dcterms:modified>
</cp:coreProperties>
</file>